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B1" w:rsidRPr="00331741" w:rsidRDefault="00572D94" w:rsidP="00572D94">
      <w:pPr>
        <w:spacing w:after="0"/>
        <w:jc w:val="center"/>
        <w:rPr>
          <w:rFonts w:ascii="Arial" w:hAnsi="Arial" w:cs="Arial"/>
          <w:color w:val="002060"/>
          <w:sz w:val="40"/>
          <w:szCs w:val="40"/>
        </w:rPr>
      </w:pPr>
      <w:r w:rsidRPr="00331741">
        <w:rPr>
          <w:rFonts w:ascii="Arial" w:hAnsi="Arial" w:cs="Arial"/>
          <w:b/>
          <w:color w:val="002060"/>
          <w:sz w:val="40"/>
          <w:szCs w:val="40"/>
          <w:u w:val="single"/>
        </w:rPr>
        <w:t xml:space="preserve">Universal Credit – </w:t>
      </w:r>
      <w:r w:rsidR="0003652D">
        <w:rPr>
          <w:rFonts w:ascii="Arial" w:hAnsi="Arial" w:cs="Arial"/>
          <w:b/>
          <w:color w:val="002060"/>
          <w:sz w:val="40"/>
          <w:szCs w:val="40"/>
          <w:u w:val="single"/>
        </w:rPr>
        <w:t>Jargon Buster</w:t>
      </w:r>
    </w:p>
    <w:p w:rsidR="00572D94" w:rsidRDefault="00572D94" w:rsidP="00572D94">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44"/>
      </w:tblGrid>
      <w:tr w:rsidR="005E29B4" w:rsidTr="00823BDE">
        <w:trPr>
          <w:trHeight w:val="397"/>
        </w:trPr>
        <w:tc>
          <w:tcPr>
            <w:tcW w:w="2376" w:type="dxa"/>
            <w:shd w:val="clear" w:color="auto" w:fill="BFBFBF" w:themeFill="background1" w:themeFillShade="BF"/>
          </w:tcPr>
          <w:p w:rsidR="005E29B4" w:rsidRPr="00823BDE" w:rsidRDefault="00823BDE" w:rsidP="00823BDE">
            <w:pPr>
              <w:spacing w:before="120" w:after="120"/>
              <w:jc w:val="both"/>
              <w:rPr>
                <w:rFonts w:ascii="Arial" w:hAnsi="Arial" w:cs="Arial"/>
                <w:b/>
                <w:sz w:val="28"/>
                <w:szCs w:val="28"/>
              </w:rPr>
            </w:pPr>
            <w:r w:rsidRPr="00823BDE">
              <w:rPr>
                <w:rFonts w:ascii="Arial" w:hAnsi="Arial" w:cs="Arial"/>
                <w:b/>
                <w:sz w:val="28"/>
                <w:szCs w:val="28"/>
              </w:rPr>
              <w:t>Jargon</w:t>
            </w:r>
            <w:bookmarkStart w:id="0" w:name="_GoBack"/>
            <w:bookmarkEnd w:id="0"/>
          </w:p>
        </w:tc>
        <w:tc>
          <w:tcPr>
            <w:tcW w:w="8044" w:type="dxa"/>
            <w:shd w:val="clear" w:color="auto" w:fill="BFBFBF" w:themeFill="background1" w:themeFillShade="BF"/>
            <w:vAlign w:val="center"/>
          </w:tcPr>
          <w:p w:rsidR="005E29B4" w:rsidRPr="00823BDE" w:rsidRDefault="00823BDE" w:rsidP="00331741">
            <w:pPr>
              <w:rPr>
                <w:rFonts w:ascii="Arial" w:hAnsi="Arial" w:cs="Arial"/>
                <w:b/>
                <w:sz w:val="28"/>
                <w:szCs w:val="28"/>
              </w:rPr>
            </w:pPr>
            <w:r w:rsidRPr="00823BDE">
              <w:rPr>
                <w:rFonts w:ascii="Arial" w:hAnsi="Arial" w:cs="Arial"/>
                <w:b/>
                <w:sz w:val="28"/>
                <w:szCs w:val="28"/>
              </w:rPr>
              <w:t>Definition</w:t>
            </w:r>
          </w:p>
        </w:tc>
      </w:tr>
      <w:tr w:rsidR="005E29B4" w:rsidTr="00C64D7C">
        <w:trPr>
          <w:trHeight w:val="397"/>
        </w:trPr>
        <w:tc>
          <w:tcPr>
            <w:tcW w:w="2376" w:type="dxa"/>
          </w:tcPr>
          <w:p w:rsidR="005E29B4" w:rsidRPr="00823BDE" w:rsidRDefault="00823BDE" w:rsidP="00C64D7C">
            <w:pPr>
              <w:spacing w:before="120" w:after="120"/>
              <w:rPr>
                <w:rFonts w:ascii="Arial" w:hAnsi="Arial" w:cs="Arial"/>
                <w:sz w:val="27"/>
                <w:szCs w:val="27"/>
              </w:rPr>
            </w:pPr>
            <w:r w:rsidRPr="00823BDE">
              <w:rPr>
                <w:rFonts w:ascii="Arial" w:hAnsi="Arial" w:cs="Arial"/>
                <w:sz w:val="27"/>
                <w:szCs w:val="27"/>
              </w:rPr>
              <w:t>Online journal</w:t>
            </w:r>
          </w:p>
        </w:tc>
        <w:tc>
          <w:tcPr>
            <w:tcW w:w="8044" w:type="dxa"/>
          </w:tcPr>
          <w:p w:rsidR="005E29B4" w:rsidRPr="00823BDE" w:rsidRDefault="00823BDE" w:rsidP="00C64D7C">
            <w:pPr>
              <w:rPr>
                <w:rFonts w:ascii="Arial" w:hAnsi="Arial" w:cs="Arial"/>
                <w:sz w:val="27"/>
                <w:szCs w:val="27"/>
              </w:rPr>
            </w:pPr>
            <w:r w:rsidRPr="00823BDE">
              <w:rPr>
                <w:rFonts w:ascii="Arial" w:hAnsi="Arial" w:cs="Arial"/>
                <w:sz w:val="27"/>
                <w:szCs w:val="27"/>
              </w:rPr>
              <w:t>This is the name given to the claimant’s online Universal Credit account.  They’ll use this to manage their claim, communicate with the DWP and check their payment statements</w:t>
            </w:r>
          </w:p>
          <w:p w:rsidR="00823BDE" w:rsidRPr="00823BDE" w:rsidRDefault="00823BDE" w:rsidP="00C64D7C">
            <w:pPr>
              <w:rPr>
                <w:rFonts w:ascii="Arial" w:hAnsi="Arial" w:cs="Arial"/>
                <w:sz w:val="27"/>
                <w:szCs w:val="27"/>
              </w:rPr>
            </w:pPr>
          </w:p>
          <w:p w:rsidR="00823BDE" w:rsidRPr="00823BDE" w:rsidRDefault="00823BDE" w:rsidP="00C64D7C">
            <w:pPr>
              <w:rPr>
                <w:rFonts w:ascii="Arial" w:hAnsi="Arial" w:cs="Arial"/>
                <w:sz w:val="27"/>
                <w:szCs w:val="27"/>
              </w:rPr>
            </w:pPr>
            <w:r w:rsidRPr="00823BDE">
              <w:rPr>
                <w:rFonts w:ascii="Arial" w:hAnsi="Arial" w:cs="Arial"/>
                <w:sz w:val="27"/>
                <w:szCs w:val="27"/>
              </w:rPr>
              <w:t>Work coaches can add ‘actions’ for the claimant to complete in the online journal, and the claimant can use it to send messages to their work coach</w:t>
            </w:r>
          </w:p>
          <w:p w:rsidR="00823BDE" w:rsidRPr="00823BDE" w:rsidRDefault="00823BDE" w:rsidP="00C64D7C">
            <w:pPr>
              <w:rPr>
                <w:rFonts w:ascii="Arial" w:hAnsi="Arial" w:cs="Arial"/>
                <w:sz w:val="27"/>
                <w:szCs w:val="27"/>
              </w:rPr>
            </w:pPr>
          </w:p>
        </w:tc>
      </w:tr>
      <w:tr w:rsidR="005E29B4" w:rsidTr="00C64D7C">
        <w:trPr>
          <w:trHeight w:val="397"/>
        </w:trPr>
        <w:tc>
          <w:tcPr>
            <w:tcW w:w="2376" w:type="dxa"/>
          </w:tcPr>
          <w:p w:rsidR="005E29B4" w:rsidRPr="00823BDE" w:rsidRDefault="00823BDE" w:rsidP="00C64D7C">
            <w:pPr>
              <w:spacing w:before="120" w:after="120"/>
              <w:rPr>
                <w:rFonts w:ascii="Arial" w:hAnsi="Arial" w:cs="Arial"/>
                <w:sz w:val="27"/>
                <w:szCs w:val="27"/>
              </w:rPr>
            </w:pPr>
            <w:r w:rsidRPr="00823BDE">
              <w:rPr>
                <w:rFonts w:ascii="Arial" w:hAnsi="Arial" w:cs="Arial"/>
                <w:sz w:val="27"/>
                <w:szCs w:val="27"/>
              </w:rPr>
              <w:t>Live service</w:t>
            </w:r>
          </w:p>
        </w:tc>
        <w:tc>
          <w:tcPr>
            <w:tcW w:w="8044" w:type="dxa"/>
          </w:tcPr>
          <w:p w:rsidR="005E29B4" w:rsidRPr="00823BDE" w:rsidRDefault="00823BDE" w:rsidP="00C64D7C">
            <w:pPr>
              <w:rPr>
                <w:rFonts w:ascii="Arial" w:hAnsi="Arial" w:cs="Arial"/>
                <w:sz w:val="27"/>
                <w:szCs w:val="27"/>
              </w:rPr>
            </w:pPr>
            <w:r w:rsidRPr="00823BDE">
              <w:rPr>
                <w:rFonts w:ascii="Arial" w:hAnsi="Arial" w:cs="Arial"/>
                <w:sz w:val="27"/>
                <w:szCs w:val="27"/>
              </w:rPr>
              <w:t>People that live in live service areas can make their claim online, but not manage it online.</w:t>
            </w:r>
          </w:p>
          <w:p w:rsidR="00823BDE" w:rsidRPr="00823BDE" w:rsidRDefault="00823BDE" w:rsidP="00C64D7C">
            <w:pPr>
              <w:rPr>
                <w:rFonts w:ascii="Arial" w:hAnsi="Arial" w:cs="Arial"/>
                <w:sz w:val="27"/>
                <w:szCs w:val="27"/>
              </w:rPr>
            </w:pPr>
          </w:p>
          <w:p w:rsidR="00823BDE" w:rsidRDefault="00823BDE" w:rsidP="00C64D7C">
            <w:pPr>
              <w:rPr>
                <w:rFonts w:ascii="Arial" w:hAnsi="Arial" w:cs="Arial"/>
                <w:sz w:val="27"/>
                <w:szCs w:val="27"/>
              </w:rPr>
            </w:pPr>
            <w:r w:rsidRPr="00823BDE">
              <w:rPr>
                <w:rFonts w:ascii="Arial" w:hAnsi="Arial" w:cs="Arial"/>
                <w:sz w:val="27"/>
                <w:szCs w:val="27"/>
              </w:rPr>
              <w:t>It’s only available to a limited group of claimants.  It’s available in all local authorities, but will eventua</w:t>
            </w:r>
            <w:r>
              <w:rPr>
                <w:rFonts w:ascii="Arial" w:hAnsi="Arial" w:cs="Arial"/>
                <w:sz w:val="27"/>
                <w:szCs w:val="27"/>
              </w:rPr>
              <w:t>lly be replaced by full service.</w:t>
            </w:r>
          </w:p>
          <w:p w:rsidR="00823BDE" w:rsidRPr="00823BDE" w:rsidRDefault="00823BDE" w:rsidP="00C64D7C">
            <w:pPr>
              <w:rPr>
                <w:rFonts w:ascii="Arial" w:hAnsi="Arial" w:cs="Arial"/>
                <w:sz w:val="27"/>
                <w:szCs w:val="27"/>
              </w:rPr>
            </w:pPr>
          </w:p>
        </w:tc>
      </w:tr>
      <w:tr w:rsidR="005E29B4" w:rsidTr="00C64D7C">
        <w:trPr>
          <w:trHeight w:val="397"/>
        </w:trPr>
        <w:tc>
          <w:tcPr>
            <w:tcW w:w="2376" w:type="dxa"/>
          </w:tcPr>
          <w:p w:rsidR="005E29B4" w:rsidRPr="00823BDE" w:rsidRDefault="00823BDE" w:rsidP="00C64D7C">
            <w:pPr>
              <w:spacing w:before="120" w:after="120"/>
              <w:rPr>
                <w:rFonts w:ascii="Arial" w:hAnsi="Arial" w:cs="Arial"/>
                <w:sz w:val="27"/>
                <w:szCs w:val="27"/>
              </w:rPr>
            </w:pPr>
            <w:r w:rsidRPr="00823BDE">
              <w:rPr>
                <w:rFonts w:ascii="Arial" w:hAnsi="Arial" w:cs="Arial"/>
                <w:sz w:val="27"/>
                <w:szCs w:val="27"/>
              </w:rPr>
              <w:t>Full service</w:t>
            </w:r>
          </w:p>
        </w:tc>
        <w:tc>
          <w:tcPr>
            <w:tcW w:w="8044" w:type="dxa"/>
          </w:tcPr>
          <w:p w:rsidR="005E29B4" w:rsidRPr="00823BDE" w:rsidRDefault="00823BDE" w:rsidP="00C64D7C">
            <w:pPr>
              <w:rPr>
                <w:rFonts w:ascii="Arial" w:hAnsi="Arial" w:cs="Arial"/>
                <w:sz w:val="27"/>
                <w:szCs w:val="27"/>
              </w:rPr>
            </w:pPr>
            <w:r w:rsidRPr="00823BDE">
              <w:rPr>
                <w:rFonts w:ascii="Arial" w:hAnsi="Arial" w:cs="Arial"/>
                <w:sz w:val="27"/>
                <w:szCs w:val="27"/>
              </w:rPr>
              <w:t>People that live in full service areas can make and manage their claims online.  It’s available to all new claimants of legacy benefits.</w:t>
            </w:r>
          </w:p>
          <w:p w:rsidR="00823BDE" w:rsidRPr="00823BDE" w:rsidRDefault="00823BDE" w:rsidP="00C64D7C">
            <w:pPr>
              <w:rPr>
                <w:rFonts w:ascii="Arial" w:hAnsi="Arial" w:cs="Arial"/>
                <w:sz w:val="27"/>
                <w:szCs w:val="27"/>
              </w:rPr>
            </w:pPr>
          </w:p>
          <w:p w:rsidR="00823BDE" w:rsidRDefault="00823BDE" w:rsidP="00C64D7C">
            <w:pPr>
              <w:rPr>
                <w:rFonts w:ascii="Arial" w:hAnsi="Arial" w:cs="Arial"/>
                <w:sz w:val="27"/>
                <w:szCs w:val="27"/>
              </w:rPr>
            </w:pPr>
            <w:r w:rsidRPr="00823BDE">
              <w:rPr>
                <w:rFonts w:ascii="Arial" w:hAnsi="Arial" w:cs="Arial"/>
                <w:sz w:val="27"/>
                <w:szCs w:val="27"/>
              </w:rPr>
              <w:t>It’s only available in a few local authorities, but is gradually being rolled out.</w:t>
            </w:r>
          </w:p>
          <w:p w:rsidR="00823BDE" w:rsidRPr="00823BDE" w:rsidRDefault="00823BDE" w:rsidP="00C64D7C">
            <w:pPr>
              <w:rPr>
                <w:rFonts w:ascii="Arial" w:hAnsi="Arial" w:cs="Arial"/>
                <w:sz w:val="27"/>
                <w:szCs w:val="27"/>
              </w:rPr>
            </w:pPr>
          </w:p>
        </w:tc>
      </w:tr>
      <w:tr w:rsidR="005E29B4" w:rsidTr="00C64D7C">
        <w:trPr>
          <w:trHeight w:val="397"/>
        </w:trPr>
        <w:tc>
          <w:tcPr>
            <w:tcW w:w="2376" w:type="dxa"/>
          </w:tcPr>
          <w:p w:rsidR="005E29B4" w:rsidRPr="00823BDE" w:rsidRDefault="00823BDE" w:rsidP="00C64D7C">
            <w:pPr>
              <w:spacing w:before="120" w:after="120"/>
              <w:rPr>
                <w:rFonts w:ascii="Arial" w:hAnsi="Arial" w:cs="Arial"/>
                <w:sz w:val="27"/>
                <w:szCs w:val="27"/>
              </w:rPr>
            </w:pPr>
            <w:r>
              <w:rPr>
                <w:rFonts w:ascii="Arial" w:hAnsi="Arial" w:cs="Arial"/>
                <w:sz w:val="27"/>
                <w:szCs w:val="27"/>
              </w:rPr>
              <w:t>Legacy benefits</w:t>
            </w:r>
          </w:p>
        </w:tc>
        <w:tc>
          <w:tcPr>
            <w:tcW w:w="8044" w:type="dxa"/>
          </w:tcPr>
          <w:p w:rsidR="005E29B4" w:rsidRDefault="00823BDE" w:rsidP="00C64D7C">
            <w:pPr>
              <w:rPr>
                <w:rFonts w:ascii="Arial" w:hAnsi="Arial" w:cs="Arial"/>
                <w:sz w:val="27"/>
                <w:szCs w:val="27"/>
              </w:rPr>
            </w:pPr>
            <w:r>
              <w:rPr>
                <w:rFonts w:ascii="Arial" w:hAnsi="Arial" w:cs="Arial"/>
                <w:sz w:val="27"/>
                <w:szCs w:val="27"/>
              </w:rPr>
              <w:t>This refers to the 6 working age benefits that will be replaced by Universal Credit:</w:t>
            </w:r>
          </w:p>
          <w:p w:rsidR="000A2773" w:rsidRDefault="000A2773" w:rsidP="00C64D7C">
            <w:pPr>
              <w:rPr>
                <w:rFonts w:ascii="Arial" w:hAnsi="Arial" w:cs="Arial"/>
                <w:sz w:val="27"/>
                <w:szCs w:val="27"/>
              </w:rPr>
            </w:pPr>
          </w:p>
          <w:p w:rsidR="00823BDE" w:rsidRDefault="00823BDE" w:rsidP="00C64D7C">
            <w:pPr>
              <w:pStyle w:val="ListParagraph"/>
              <w:numPr>
                <w:ilvl w:val="0"/>
                <w:numId w:val="2"/>
              </w:numPr>
              <w:rPr>
                <w:rFonts w:ascii="Arial" w:hAnsi="Arial" w:cs="Arial"/>
                <w:sz w:val="27"/>
                <w:szCs w:val="27"/>
              </w:rPr>
            </w:pPr>
            <w:r>
              <w:rPr>
                <w:rFonts w:ascii="Arial" w:hAnsi="Arial" w:cs="Arial"/>
                <w:sz w:val="27"/>
                <w:szCs w:val="27"/>
              </w:rPr>
              <w:t>Income-based Jobseeker’s Allowance (JSA)</w:t>
            </w:r>
          </w:p>
          <w:p w:rsidR="00823BDE" w:rsidRDefault="00823BDE" w:rsidP="00C64D7C">
            <w:pPr>
              <w:pStyle w:val="ListParagraph"/>
              <w:numPr>
                <w:ilvl w:val="0"/>
                <w:numId w:val="2"/>
              </w:numPr>
              <w:rPr>
                <w:rFonts w:ascii="Arial" w:hAnsi="Arial" w:cs="Arial"/>
                <w:sz w:val="27"/>
                <w:szCs w:val="27"/>
              </w:rPr>
            </w:pPr>
            <w:r>
              <w:rPr>
                <w:rFonts w:ascii="Arial" w:hAnsi="Arial" w:cs="Arial"/>
                <w:sz w:val="27"/>
                <w:szCs w:val="27"/>
              </w:rPr>
              <w:t>Income-based Employment Support Allowance (ESA)</w:t>
            </w:r>
          </w:p>
          <w:p w:rsidR="00823BDE" w:rsidRDefault="00823BDE" w:rsidP="00C64D7C">
            <w:pPr>
              <w:pStyle w:val="ListParagraph"/>
              <w:numPr>
                <w:ilvl w:val="0"/>
                <w:numId w:val="2"/>
              </w:numPr>
              <w:rPr>
                <w:rFonts w:ascii="Arial" w:hAnsi="Arial" w:cs="Arial"/>
                <w:sz w:val="27"/>
                <w:szCs w:val="27"/>
              </w:rPr>
            </w:pPr>
            <w:r>
              <w:rPr>
                <w:rFonts w:ascii="Arial" w:hAnsi="Arial" w:cs="Arial"/>
                <w:sz w:val="27"/>
                <w:szCs w:val="27"/>
              </w:rPr>
              <w:t>Housing Benefit (HB)</w:t>
            </w:r>
          </w:p>
          <w:p w:rsidR="00823BDE" w:rsidRDefault="00445046" w:rsidP="00C64D7C">
            <w:pPr>
              <w:pStyle w:val="ListParagraph"/>
              <w:numPr>
                <w:ilvl w:val="0"/>
                <w:numId w:val="2"/>
              </w:numPr>
              <w:rPr>
                <w:rFonts w:ascii="Arial" w:hAnsi="Arial" w:cs="Arial"/>
                <w:sz w:val="27"/>
                <w:szCs w:val="27"/>
              </w:rPr>
            </w:pPr>
            <w:r>
              <w:rPr>
                <w:rFonts w:ascii="Arial" w:hAnsi="Arial" w:cs="Arial"/>
                <w:sz w:val="27"/>
                <w:szCs w:val="27"/>
              </w:rPr>
              <w:t>Income Support (IS)</w:t>
            </w:r>
          </w:p>
          <w:p w:rsidR="00445046" w:rsidRDefault="00445046" w:rsidP="00C64D7C">
            <w:pPr>
              <w:pStyle w:val="ListParagraph"/>
              <w:numPr>
                <w:ilvl w:val="0"/>
                <w:numId w:val="2"/>
              </w:numPr>
              <w:rPr>
                <w:rFonts w:ascii="Arial" w:hAnsi="Arial" w:cs="Arial"/>
                <w:sz w:val="27"/>
                <w:szCs w:val="27"/>
              </w:rPr>
            </w:pPr>
            <w:r>
              <w:rPr>
                <w:rFonts w:ascii="Arial" w:hAnsi="Arial" w:cs="Arial"/>
                <w:sz w:val="27"/>
                <w:szCs w:val="27"/>
              </w:rPr>
              <w:t>Child Tax Credits (CTC)</w:t>
            </w:r>
          </w:p>
          <w:p w:rsidR="00445046" w:rsidRDefault="00445046" w:rsidP="00C64D7C">
            <w:pPr>
              <w:pStyle w:val="ListParagraph"/>
              <w:numPr>
                <w:ilvl w:val="0"/>
                <w:numId w:val="2"/>
              </w:numPr>
              <w:rPr>
                <w:rFonts w:ascii="Arial" w:hAnsi="Arial" w:cs="Arial"/>
                <w:sz w:val="27"/>
                <w:szCs w:val="27"/>
              </w:rPr>
            </w:pPr>
            <w:r>
              <w:rPr>
                <w:rFonts w:ascii="Arial" w:hAnsi="Arial" w:cs="Arial"/>
                <w:sz w:val="27"/>
                <w:szCs w:val="27"/>
              </w:rPr>
              <w:t>Working Tax Credits (WTC)</w:t>
            </w:r>
          </w:p>
          <w:p w:rsidR="00445046" w:rsidRPr="00823BDE" w:rsidRDefault="00445046" w:rsidP="00C64D7C">
            <w:pPr>
              <w:pStyle w:val="ListParagraph"/>
              <w:rPr>
                <w:rFonts w:ascii="Arial" w:hAnsi="Arial" w:cs="Arial"/>
                <w:sz w:val="27"/>
                <w:szCs w:val="27"/>
              </w:rPr>
            </w:pPr>
          </w:p>
        </w:tc>
      </w:tr>
      <w:tr w:rsidR="005E29B4" w:rsidTr="00C64D7C">
        <w:trPr>
          <w:trHeight w:val="397"/>
        </w:trPr>
        <w:tc>
          <w:tcPr>
            <w:tcW w:w="2376" w:type="dxa"/>
          </w:tcPr>
          <w:p w:rsidR="005E29B4" w:rsidRPr="00823BDE" w:rsidRDefault="00C64D7C" w:rsidP="00C64D7C">
            <w:pPr>
              <w:spacing w:before="120" w:after="120"/>
              <w:rPr>
                <w:rFonts w:ascii="Arial" w:hAnsi="Arial" w:cs="Arial"/>
                <w:sz w:val="27"/>
                <w:szCs w:val="27"/>
              </w:rPr>
            </w:pPr>
            <w:r>
              <w:rPr>
                <w:rFonts w:ascii="Arial" w:hAnsi="Arial" w:cs="Arial"/>
                <w:sz w:val="27"/>
                <w:szCs w:val="27"/>
              </w:rPr>
              <w:t>Explicit vs. implicit consent</w:t>
            </w:r>
          </w:p>
        </w:tc>
        <w:tc>
          <w:tcPr>
            <w:tcW w:w="8044" w:type="dxa"/>
          </w:tcPr>
          <w:p w:rsidR="005E29B4" w:rsidRDefault="00C64D7C" w:rsidP="00C64D7C">
            <w:pPr>
              <w:jc w:val="both"/>
              <w:rPr>
                <w:rFonts w:ascii="Arial" w:hAnsi="Arial" w:cs="Arial"/>
                <w:sz w:val="27"/>
                <w:szCs w:val="27"/>
              </w:rPr>
            </w:pPr>
            <w:r>
              <w:rPr>
                <w:rFonts w:ascii="Arial" w:hAnsi="Arial" w:cs="Arial"/>
                <w:sz w:val="27"/>
                <w:szCs w:val="27"/>
              </w:rPr>
              <w:t>This refers to the type of consent someone needs to give for you to talk on their behalf as an adviser.</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Explicit consent means the client needs to give specific agreement – either by being on a call with you or by posting a message in their online journal.</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Clients normally need to give explicit consent if you’re in a full service Universal Credit area.</w:t>
            </w:r>
          </w:p>
          <w:p w:rsidR="00C64D7C" w:rsidRDefault="00C64D7C" w:rsidP="00C64D7C">
            <w:pPr>
              <w:jc w:val="both"/>
              <w:rPr>
                <w:rFonts w:ascii="Arial" w:hAnsi="Arial" w:cs="Arial"/>
                <w:sz w:val="27"/>
                <w:szCs w:val="27"/>
              </w:rPr>
            </w:pPr>
            <w:r>
              <w:rPr>
                <w:rFonts w:ascii="Arial" w:hAnsi="Arial" w:cs="Arial"/>
                <w:sz w:val="27"/>
                <w:szCs w:val="27"/>
              </w:rPr>
              <w:lastRenderedPageBreak/>
              <w:t>Implicit consent means that if the adviser has enough information to act, it’s assumed the client has given consent to speak on your behalf.  This is normally accepted if you’re in a live service Universal Credit area, or with legacy benefits.</w:t>
            </w:r>
          </w:p>
          <w:p w:rsidR="00C64D7C" w:rsidRPr="00823BDE" w:rsidRDefault="00C64D7C" w:rsidP="00C64D7C">
            <w:pPr>
              <w:jc w:val="both"/>
              <w:rPr>
                <w:rFonts w:ascii="Arial" w:hAnsi="Arial" w:cs="Arial"/>
                <w:sz w:val="27"/>
                <w:szCs w:val="27"/>
              </w:rPr>
            </w:pPr>
          </w:p>
        </w:tc>
      </w:tr>
      <w:tr w:rsidR="005E29B4" w:rsidTr="00C64D7C">
        <w:trPr>
          <w:trHeight w:val="397"/>
        </w:trPr>
        <w:tc>
          <w:tcPr>
            <w:tcW w:w="2376" w:type="dxa"/>
          </w:tcPr>
          <w:p w:rsidR="005E29B4" w:rsidRPr="00823BDE" w:rsidRDefault="00C64D7C" w:rsidP="00C64D7C">
            <w:pPr>
              <w:spacing w:before="120" w:after="120"/>
              <w:rPr>
                <w:rFonts w:ascii="Arial" w:hAnsi="Arial" w:cs="Arial"/>
                <w:sz w:val="27"/>
                <w:szCs w:val="27"/>
              </w:rPr>
            </w:pPr>
            <w:r>
              <w:rPr>
                <w:rFonts w:ascii="Arial" w:hAnsi="Arial" w:cs="Arial"/>
                <w:sz w:val="27"/>
                <w:szCs w:val="27"/>
              </w:rPr>
              <w:lastRenderedPageBreak/>
              <w:t>Verify</w:t>
            </w:r>
          </w:p>
        </w:tc>
        <w:tc>
          <w:tcPr>
            <w:tcW w:w="8044" w:type="dxa"/>
          </w:tcPr>
          <w:p w:rsidR="005E29B4" w:rsidRDefault="00C64D7C" w:rsidP="00C64D7C">
            <w:pPr>
              <w:jc w:val="both"/>
              <w:rPr>
                <w:rFonts w:ascii="Arial" w:hAnsi="Arial" w:cs="Arial"/>
                <w:sz w:val="27"/>
                <w:szCs w:val="27"/>
              </w:rPr>
            </w:pPr>
            <w:r>
              <w:rPr>
                <w:rFonts w:ascii="Arial" w:hAnsi="Arial" w:cs="Arial"/>
                <w:sz w:val="27"/>
                <w:szCs w:val="27"/>
              </w:rPr>
              <w:t>A website used by the government to verify someone’s identity.</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 xml:space="preserve">People claiming Universal Credit </w:t>
            </w:r>
            <w:proofErr w:type="gramStart"/>
            <w:r>
              <w:rPr>
                <w:rFonts w:ascii="Arial" w:hAnsi="Arial" w:cs="Arial"/>
                <w:sz w:val="27"/>
                <w:szCs w:val="27"/>
              </w:rPr>
              <w:t>are</w:t>
            </w:r>
            <w:proofErr w:type="gramEnd"/>
            <w:r>
              <w:rPr>
                <w:rFonts w:ascii="Arial" w:hAnsi="Arial" w:cs="Arial"/>
                <w:sz w:val="27"/>
                <w:szCs w:val="27"/>
              </w:rPr>
              <w:t xml:space="preserve"> asked to upload evidence or documents to Verify to prove their identity, for example a passport or driving licence.</w:t>
            </w:r>
          </w:p>
          <w:p w:rsidR="00C64D7C" w:rsidRPr="00823BDE" w:rsidRDefault="00C64D7C" w:rsidP="00C64D7C">
            <w:pPr>
              <w:jc w:val="both"/>
              <w:rPr>
                <w:rFonts w:ascii="Arial" w:hAnsi="Arial" w:cs="Arial"/>
                <w:sz w:val="27"/>
                <w:szCs w:val="27"/>
              </w:rPr>
            </w:pPr>
          </w:p>
        </w:tc>
      </w:tr>
      <w:tr w:rsidR="005E29B4" w:rsidTr="00C64D7C">
        <w:trPr>
          <w:trHeight w:val="397"/>
        </w:trPr>
        <w:tc>
          <w:tcPr>
            <w:tcW w:w="2376" w:type="dxa"/>
          </w:tcPr>
          <w:p w:rsidR="005E29B4" w:rsidRPr="00823BDE" w:rsidRDefault="00C64D7C" w:rsidP="00C64D7C">
            <w:pPr>
              <w:spacing w:before="120" w:after="120"/>
              <w:rPr>
                <w:rFonts w:ascii="Arial" w:hAnsi="Arial" w:cs="Arial"/>
                <w:sz w:val="27"/>
                <w:szCs w:val="27"/>
              </w:rPr>
            </w:pPr>
            <w:r>
              <w:rPr>
                <w:rFonts w:ascii="Arial" w:hAnsi="Arial" w:cs="Arial"/>
                <w:sz w:val="27"/>
                <w:szCs w:val="27"/>
              </w:rPr>
              <w:t>Test and learn</w:t>
            </w:r>
          </w:p>
        </w:tc>
        <w:tc>
          <w:tcPr>
            <w:tcW w:w="8044" w:type="dxa"/>
          </w:tcPr>
          <w:p w:rsidR="005E29B4" w:rsidRDefault="00C64D7C" w:rsidP="00C64D7C">
            <w:pPr>
              <w:jc w:val="both"/>
              <w:rPr>
                <w:rFonts w:ascii="Arial" w:hAnsi="Arial" w:cs="Arial"/>
                <w:sz w:val="27"/>
                <w:szCs w:val="27"/>
              </w:rPr>
            </w:pPr>
            <w:r>
              <w:rPr>
                <w:rFonts w:ascii="Arial" w:hAnsi="Arial" w:cs="Arial"/>
                <w:sz w:val="27"/>
                <w:szCs w:val="27"/>
              </w:rPr>
              <w:t>This is what the Department for Work and Pensions (DWP) call their approach to rolling out Universal Credit.</w:t>
            </w:r>
          </w:p>
          <w:p w:rsidR="00C64D7C" w:rsidRPr="00823BDE" w:rsidRDefault="00C64D7C" w:rsidP="00C64D7C">
            <w:pPr>
              <w:jc w:val="both"/>
              <w:rPr>
                <w:rFonts w:ascii="Arial" w:hAnsi="Arial" w:cs="Arial"/>
                <w:sz w:val="27"/>
                <w:szCs w:val="27"/>
              </w:rPr>
            </w:pPr>
          </w:p>
        </w:tc>
      </w:tr>
      <w:tr w:rsidR="005E29B4" w:rsidTr="00C64D7C">
        <w:trPr>
          <w:trHeight w:val="397"/>
        </w:trPr>
        <w:tc>
          <w:tcPr>
            <w:tcW w:w="2376" w:type="dxa"/>
          </w:tcPr>
          <w:p w:rsidR="005E29B4" w:rsidRPr="00823BDE" w:rsidRDefault="00C64D7C" w:rsidP="00C64D7C">
            <w:pPr>
              <w:spacing w:before="120" w:after="120"/>
              <w:rPr>
                <w:rFonts w:ascii="Arial" w:hAnsi="Arial" w:cs="Arial"/>
                <w:sz w:val="27"/>
                <w:szCs w:val="27"/>
              </w:rPr>
            </w:pPr>
            <w:r>
              <w:rPr>
                <w:rFonts w:ascii="Arial" w:hAnsi="Arial" w:cs="Arial"/>
                <w:sz w:val="27"/>
                <w:szCs w:val="27"/>
              </w:rPr>
              <w:t>Assessment period</w:t>
            </w:r>
          </w:p>
        </w:tc>
        <w:tc>
          <w:tcPr>
            <w:tcW w:w="8044" w:type="dxa"/>
          </w:tcPr>
          <w:p w:rsidR="005E29B4" w:rsidRDefault="00C64D7C" w:rsidP="00C64D7C">
            <w:pPr>
              <w:jc w:val="both"/>
              <w:rPr>
                <w:rFonts w:ascii="Arial" w:hAnsi="Arial" w:cs="Arial"/>
                <w:sz w:val="27"/>
                <w:szCs w:val="27"/>
              </w:rPr>
            </w:pPr>
            <w:r>
              <w:rPr>
                <w:rFonts w:ascii="Arial" w:hAnsi="Arial" w:cs="Arial"/>
                <w:sz w:val="27"/>
                <w:szCs w:val="27"/>
              </w:rPr>
              <w:t>The month during which someone’s income is assessed, when the amount of Universal Credit they’ll get is calculated.</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Claimants are assessed every month while they’re on Universal Credit – once one monthly assessment period ends, the next one starts.</w:t>
            </w:r>
          </w:p>
          <w:p w:rsidR="00C64D7C" w:rsidRPr="00823BDE" w:rsidRDefault="00C64D7C" w:rsidP="00C64D7C">
            <w:pPr>
              <w:jc w:val="both"/>
              <w:rPr>
                <w:rFonts w:ascii="Arial" w:hAnsi="Arial" w:cs="Arial"/>
                <w:sz w:val="27"/>
                <w:szCs w:val="27"/>
              </w:rPr>
            </w:pPr>
          </w:p>
        </w:tc>
      </w:tr>
      <w:tr w:rsidR="005E29B4" w:rsidTr="00C64D7C">
        <w:trPr>
          <w:trHeight w:val="397"/>
        </w:trPr>
        <w:tc>
          <w:tcPr>
            <w:tcW w:w="2376" w:type="dxa"/>
          </w:tcPr>
          <w:p w:rsidR="005E29B4" w:rsidRPr="00823BDE" w:rsidRDefault="00C64D7C" w:rsidP="00C64D7C">
            <w:pPr>
              <w:spacing w:before="120" w:after="120"/>
              <w:rPr>
                <w:rFonts w:ascii="Arial" w:hAnsi="Arial" w:cs="Arial"/>
                <w:sz w:val="27"/>
                <w:szCs w:val="27"/>
              </w:rPr>
            </w:pPr>
            <w:r>
              <w:rPr>
                <w:rFonts w:ascii="Arial" w:hAnsi="Arial" w:cs="Arial"/>
                <w:sz w:val="27"/>
                <w:szCs w:val="27"/>
              </w:rPr>
              <w:t>Maximum amount</w:t>
            </w:r>
          </w:p>
        </w:tc>
        <w:tc>
          <w:tcPr>
            <w:tcW w:w="8044" w:type="dxa"/>
          </w:tcPr>
          <w:p w:rsidR="005E29B4" w:rsidRDefault="00C64D7C" w:rsidP="00C64D7C">
            <w:pPr>
              <w:jc w:val="both"/>
              <w:rPr>
                <w:rFonts w:ascii="Arial" w:hAnsi="Arial" w:cs="Arial"/>
                <w:sz w:val="27"/>
                <w:szCs w:val="27"/>
              </w:rPr>
            </w:pPr>
            <w:r>
              <w:rPr>
                <w:rFonts w:ascii="Arial" w:hAnsi="Arial" w:cs="Arial"/>
                <w:sz w:val="27"/>
                <w:szCs w:val="27"/>
              </w:rPr>
              <w:t>This is the maximum amount of Universal Credit someone is eligible for before a means test has been applied.</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This is made up of a basic ‘standard allowance’ and extra payment ‘elements’ that might apply depending on someone’s circumstances.  For example if they look after a child.</w:t>
            </w:r>
          </w:p>
          <w:p w:rsidR="00C64D7C" w:rsidRPr="00823BDE" w:rsidRDefault="00C64D7C" w:rsidP="00C64D7C">
            <w:pPr>
              <w:jc w:val="both"/>
              <w:rPr>
                <w:rFonts w:ascii="Arial" w:hAnsi="Arial" w:cs="Arial"/>
                <w:sz w:val="27"/>
                <w:szCs w:val="27"/>
              </w:rPr>
            </w:pPr>
          </w:p>
        </w:tc>
      </w:tr>
      <w:tr w:rsidR="005E29B4" w:rsidTr="00C64D7C">
        <w:trPr>
          <w:trHeight w:val="397"/>
        </w:trPr>
        <w:tc>
          <w:tcPr>
            <w:tcW w:w="2376" w:type="dxa"/>
          </w:tcPr>
          <w:p w:rsidR="005E29B4" w:rsidRPr="00823BDE" w:rsidRDefault="00C64D7C" w:rsidP="00C64D7C">
            <w:pPr>
              <w:spacing w:before="120" w:after="120"/>
              <w:rPr>
                <w:rFonts w:ascii="Arial" w:hAnsi="Arial" w:cs="Arial"/>
                <w:sz w:val="27"/>
                <w:szCs w:val="27"/>
              </w:rPr>
            </w:pPr>
            <w:r>
              <w:rPr>
                <w:rFonts w:ascii="Arial" w:hAnsi="Arial" w:cs="Arial"/>
                <w:sz w:val="27"/>
                <w:szCs w:val="27"/>
              </w:rPr>
              <w:t>Work allowance</w:t>
            </w:r>
          </w:p>
        </w:tc>
        <w:tc>
          <w:tcPr>
            <w:tcW w:w="8044" w:type="dxa"/>
          </w:tcPr>
          <w:p w:rsidR="005E29B4" w:rsidRDefault="00C64D7C" w:rsidP="00C64D7C">
            <w:pPr>
              <w:jc w:val="both"/>
              <w:rPr>
                <w:rFonts w:ascii="Arial" w:hAnsi="Arial" w:cs="Arial"/>
                <w:sz w:val="27"/>
                <w:szCs w:val="27"/>
              </w:rPr>
            </w:pPr>
            <w:r>
              <w:rPr>
                <w:rFonts w:ascii="Arial" w:hAnsi="Arial" w:cs="Arial"/>
                <w:sz w:val="27"/>
                <w:szCs w:val="27"/>
              </w:rPr>
              <w:t>The amount someone can earn, before they’ll start to get paid less Universal Credit.</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This will vary depending on a person’s circumstances and whether they get help with housing costs as part of their Universal Credit claim.</w:t>
            </w:r>
          </w:p>
          <w:p w:rsidR="00C64D7C" w:rsidRPr="00823BDE" w:rsidRDefault="00C64D7C" w:rsidP="00C64D7C">
            <w:pPr>
              <w:jc w:val="both"/>
              <w:rPr>
                <w:rFonts w:ascii="Arial" w:hAnsi="Arial" w:cs="Arial"/>
                <w:sz w:val="27"/>
                <w:szCs w:val="27"/>
              </w:rPr>
            </w:pPr>
          </w:p>
        </w:tc>
      </w:tr>
      <w:tr w:rsidR="005E29B4" w:rsidTr="00C64D7C">
        <w:trPr>
          <w:trHeight w:val="397"/>
        </w:trPr>
        <w:tc>
          <w:tcPr>
            <w:tcW w:w="2376" w:type="dxa"/>
          </w:tcPr>
          <w:p w:rsidR="005E29B4" w:rsidRPr="00823BDE" w:rsidRDefault="00C64D7C" w:rsidP="00C64D7C">
            <w:pPr>
              <w:spacing w:before="120" w:after="120"/>
              <w:rPr>
                <w:rFonts w:ascii="Arial" w:hAnsi="Arial" w:cs="Arial"/>
                <w:sz w:val="27"/>
                <w:szCs w:val="27"/>
              </w:rPr>
            </w:pPr>
            <w:r>
              <w:rPr>
                <w:rFonts w:ascii="Arial" w:hAnsi="Arial" w:cs="Arial"/>
                <w:sz w:val="27"/>
                <w:szCs w:val="27"/>
              </w:rPr>
              <w:t>Taper rate</w:t>
            </w:r>
          </w:p>
        </w:tc>
        <w:tc>
          <w:tcPr>
            <w:tcW w:w="8044" w:type="dxa"/>
          </w:tcPr>
          <w:p w:rsidR="005E29B4" w:rsidRDefault="00C64D7C" w:rsidP="00C64D7C">
            <w:pPr>
              <w:jc w:val="both"/>
              <w:rPr>
                <w:rFonts w:ascii="Arial" w:hAnsi="Arial" w:cs="Arial"/>
                <w:sz w:val="27"/>
                <w:szCs w:val="27"/>
              </w:rPr>
            </w:pPr>
            <w:r>
              <w:rPr>
                <w:rFonts w:ascii="Arial" w:hAnsi="Arial" w:cs="Arial"/>
                <w:sz w:val="27"/>
                <w:szCs w:val="27"/>
              </w:rPr>
              <w:t>Once someone earns more than their work allowance, their Universal Credit payment will start to be reduced.</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The taper rate indicates the amount of Universal Credit lost for each extra pound earned.  The taper rate of 63% means for each extra pound earned, the Universal Credit payment is reduced by 63p.</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p>
          <w:p w:rsidR="00C64D7C" w:rsidRPr="00823BDE" w:rsidRDefault="00C64D7C" w:rsidP="00C64D7C">
            <w:pPr>
              <w:jc w:val="both"/>
              <w:rPr>
                <w:rFonts w:ascii="Arial" w:hAnsi="Arial" w:cs="Arial"/>
                <w:sz w:val="27"/>
                <w:szCs w:val="27"/>
              </w:rPr>
            </w:pPr>
          </w:p>
        </w:tc>
      </w:tr>
      <w:tr w:rsidR="005E29B4" w:rsidTr="00C64D7C">
        <w:trPr>
          <w:trHeight w:val="397"/>
        </w:trPr>
        <w:tc>
          <w:tcPr>
            <w:tcW w:w="2376" w:type="dxa"/>
          </w:tcPr>
          <w:p w:rsidR="005E29B4" w:rsidRPr="00823BDE" w:rsidRDefault="00C64D7C" w:rsidP="00C64D7C">
            <w:pPr>
              <w:spacing w:before="120" w:after="120"/>
              <w:rPr>
                <w:rFonts w:ascii="Arial" w:hAnsi="Arial" w:cs="Arial"/>
                <w:sz w:val="27"/>
                <w:szCs w:val="27"/>
              </w:rPr>
            </w:pPr>
            <w:r>
              <w:rPr>
                <w:rFonts w:ascii="Arial" w:hAnsi="Arial" w:cs="Arial"/>
                <w:sz w:val="27"/>
                <w:szCs w:val="27"/>
              </w:rPr>
              <w:lastRenderedPageBreak/>
              <w:t>Minimum Income Floor</w:t>
            </w:r>
          </w:p>
        </w:tc>
        <w:tc>
          <w:tcPr>
            <w:tcW w:w="8044" w:type="dxa"/>
          </w:tcPr>
          <w:p w:rsidR="005E29B4" w:rsidRDefault="00C64D7C" w:rsidP="00C64D7C">
            <w:pPr>
              <w:jc w:val="both"/>
              <w:rPr>
                <w:rFonts w:ascii="Arial" w:hAnsi="Arial" w:cs="Arial"/>
                <w:sz w:val="27"/>
                <w:szCs w:val="27"/>
              </w:rPr>
            </w:pPr>
            <w:r>
              <w:rPr>
                <w:rFonts w:ascii="Arial" w:hAnsi="Arial" w:cs="Arial"/>
                <w:sz w:val="27"/>
                <w:szCs w:val="27"/>
              </w:rPr>
              <w:t>After someone on Universal Credit has been in self-employment for a year, their payment is adjusted based on the assumption that they are earning the ‘minimum income floor’.</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The minimum income floor is normally the equivalent of a 35-hour working week on the relevant minimum wage.</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Even if the claimant isn’t earning above the threshold, their Universal Credit payment will be set as though they are.</w:t>
            </w:r>
          </w:p>
          <w:p w:rsidR="00C64D7C" w:rsidRPr="00823BDE" w:rsidRDefault="00C64D7C" w:rsidP="00C64D7C">
            <w:pPr>
              <w:jc w:val="both"/>
              <w:rPr>
                <w:rFonts w:ascii="Arial" w:hAnsi="Arial" w:cs="Arial"/>
                <w:sz w:val="27"/>
                <w:szCs w:val="27"/>
              </w:rPr>
            </w:pPr>
          </w:p>
        </w:tc>
      </w:tr>
      <w:tr w:rsidR="00C64D7C" w:rsidTr="00C64D7C">
        <w:trPr>
          <w:trHeight w:val="397"/>
        </w:trPr>
        <w:tc>
          <w:tcPr>
            <w:tcW w:w="2376" w:type="dxa"/>
          </w:tcPr>
          <w:p w:rsidR="00C64D7C" w:rsidRDefault="00C64D7C" w:rsidP="00C64D7C">
            <w:pPr>
              <w:spacing w:before="120" w:after="120"/>
              <w:rPr>
                <w:rFonts w:ascii="Arial" w:hAnsi="Arial" w:cs="Arial"/>
                <w:sz w:val="27"/>
                <w:szCs w:val="27"/>
              </w:rPr>
            </w:pPr>
            <w:r>
              <w:rPr>
                <w:rFonts w:ascii="Arial" w:hAnsi="Arial" w:cs="Arial"/>
                <w:sz w:val="27"/>
                <w:szCs w:val="27"/>
              </w:rPr>
              <w:t>Universal Support</w:t>
            </w:r>
          </w:p>
        </w:tc>
        <w:tc>
          <w:tcPr>
            <w:tcW w:w="8044" w:type="dxa"/>
          </w:tcPr>
          <w:p w:rsidR="00C64D7C" w:rsidRDefault="00C64D7C" w:rsidP="00C64D7C">
            <w:pPr>
              <w:jc w:val="both"/>
              <w:rPr>
                <w:rFonts w:ascii="Arial" w:hAnsi="Arial" w:cs="Arial"/>
                <w:sz w:val="27"/>
                <w:szCs w:val="27"/>
              </w:rPr>
            </w:pPr>
            <w:r>
              <w:rPr>
                <w:rFonts w:ascii="Arial" w:hAnsi="Arial" w:cs="Arial"/>
                <w:sz w:val="27"/>
                <w:szCs w:val="27"/>
              </w:rPr>
              <w:t>Funding allocated to local authorities to help or commission support for people claiming Universal Credit.</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It normally includes Personal Budgeting Support (PBS) – to help people adjust to monthly budgets – and Assisted Digital – for those who need help making and managing a claim online.</w:t>
            </w:r>
          </w:p>
          <w:p w:rsidR="00C64D7C" w:rsidRDefault="00C64D7C" w:rsidP="00C64D7C">
            <w:pPr>
              <w:jc w:val="both"/>
              <w:rPr>
                <w:rFonts w:ascii="Arial" w:hAnsi="Arial" w:cs="Arial"/>
                <w:sz w:val="27"/>
                <w:szCs w:val="27"/>
              </w:rPr>
            </w:pPr>
          </w:p>
        </w:tc>
      </w:tr>
      <w:tr w:rsidR="00C64D7C" w:rsidTr="00C64D7C">
        <w:trPr>
          <w:trHeight w:val="397"/>
        </w:trPr>
        <w:tc>
          <w:tcPr>
            <w:tcW w:w="2376" w:type="dxa"/>
          </w:tcPr>
          <w:p w:rsidR="00C64D7C" w:rsidRDefault="00C64D7C" w:rsidP="00C64D7C">
            <w:pPr>
              <w:spacing w:before="120" w:after="120"/>
              <w:rPr>
                <w:rFonts w:ascii="Arial" w:hAnsi="Arial" w:cs="Arial"/>
                <w:sz w:val="27"/>
                <w:szCs w:val="27"/>
              </w:rPr>
            </w:pPr>
            <w:r>
              <w:rPr>
                <w:rFonts w:ascii="Arial" w:hAnsi="Arial" w:cs="Arial"/>
                <w:sz w:val="27"/>
                <w:szCs w:val="27"/>
              </w:rPr>
              <w:t>To-do</w:t>
            </w:r>
          </w:p>
        </w:tc>
        <w:tc>
          <w:tcPr>
            <w:tcW w:w="8044" w:type="dxa"/>
          </w:tcPr>
          <w:p w:rsidR="00C64D7C" w:rsidRDefault="00C64D7C" w:rsidP="00C64D7C">
            <w:pPr>
              <w:jc w:val="both"/>
              <w:rPr>
                <w:rFonts w:ascii="Arial" w:hAnsi="Arial" w:cs="Arial"/>
                <w:sz w:val="27"/>
                <w:szCs w:val="27"/>
              </w:rPr>
            </w:pPr>
            <w:r>
              <w:rPr>
                <w:rFonts w:ascii="Arial" w:hAnsi="Arial" w:cs="Arial"/>
                <w:sz w:val="27"/>
                <w:szCs w:val="27"/>
              </w:rPr>
              <w:t>An action added to a client’s online journal for them to complete.  This could be to do with their claim or search for work.</w:t>
            </w:r>
          </w:p>
          <w:p w:rsidR="00C64D7C" w:rsidRDefault="00C64D7C" w:rsidP="00C64D7C">
            <w:pPr>
              <w:jc w:val="both"/>
              <w:rPr>
                <w:rFonts w:ascii="Arial" w:hAnsi="Arial" w:cs="Arial"/>
                <w:sz w:val="27"/>
                <w:szCs w:val="27"/>
              </w:rPr>
            </w:pPr>
            <w:r>
              <w:rPr>
                <w:rFonts w:ascii="Arial" w:hAnsi="Arial" w:cs="Arial"/>
                <w:sz w:val="27"/>
                <w:szCs w:val="27"/>
              </w:rPr>
              <w:t xml:space="preserve"> </w:t>
            </w:r>
          </w:p>
        </w:tc>
      </w:tr>
      <w:tr w:rsidR="00C64D7C" w:rsidTr="00C64D7C">
        <w:trPr>
          <w:trHeight w:val="397"/>
        </w:trPr>
        <w:tc>
          <w:tcPr>
            <w:tcW w:w="2376" w:type="dxa"/>
          </w:tcPr>
          <w:p w:rsidR="00C64D7C" w:rsidRDefault="00C64D7C" w:rsidP="00C64D7C">
            <w:pPr>
              <w:spacing w:before="120" w:after="120"/>
              <w:rPr>
                <w:rFonts w:ascii="Arial" w:hAnsi="Arial" w:cs="Arial"/>
                <w:sz w:val="27"/>
                <w:szCs w:val="27"/>
              </w:rPr>
            </w:pPr>
            <w:r>
              <w:rPr>
                <w:rFonts w:ascii="Arial" w:hAnsi="Arial" w:cs="Arial"/>
                <w:sz w:val="27"/>
                <w:szCs w:val="27"/>
              </w:rPr>
              <w:t>New style JSA and ESA</w:t>
            </w:r>
          </w:p>
        </w:tc>
        <w:tc>
          <w:tcPr>
            <w:tcW w:w="8044" w:type="dxa"/>
          </w:tcPr>
          <w:p w:rsidR="00C64D7C" w:rsidRDefault="00C64D7C" w:rsidP="00C64D7C">
            <w:pPr>
              <w:jc w:val="both"/>
              <w:rPr>
                <w:rFonts w:ascii="Arial" w:hAnsi="Arial" w:cs="Arial"/>
                <w:sz w:val="27"/>
                <w:szCs w:val="27"/>
              </w:rPr>
            </w:pPr>
            <w:r>
              <w:rPr>
                <w:rFonts w:ascii="Arial" w:hAnsi="Arial" w:cs="Arial"/>
                <w:sz w:val="27"/>
                <w:szCs w:val="27"/>
              </w:rPr>
              <w:t>These are the replacements to contribution based JSA and ESA.</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A client may also be eligible for Universal Credit.</w:t>
            </w:r>
          </w:p>
          <w:p w:rsidR="00C64D7C" w:rsidRDefault="00C64D7C" w:rsidP="00C64D7C">
            <w:pPr>
              <w:jc w:val="both"/>
              <w:rPr>
                <w:rFonts w:ascii="Arial" w:hAnsi="Arial" w:cs="Arial"/>
                <w:sz w:val="27"/>
                <w:szCs w:val="27"/>
              </w:rPr>
            </w:pPr>
          </w:p>
        </w:tc>
      </w:tr>
      <w:tr w:rsidR="00C64D7C" w:rsidTr="00C64D7C">
        <w:trPr>
          <w:trHeight w:val="397"/>
        </w:trPr>
        <w:tc>
          <w:tcPr>
            <w:tcW w:w="2376" w:type="dxa"/>
          </w:tcPr>
          <w:p w:rsidR="00C64D7C" w:rsidRDefault="00C64D7C" w:rsidP="00C64D7C">
            <w:pPr>
              <w:spacing w:before="120" w:after="120"/>
              <w:rPr>
                <w:rFonts w:ascii="Arial" w:hAnsi="Arial" w:cs="Arial"/>
                <w:sz w:val="27"/>
                <w:szCs w:val="27"/>
              </w:rPr>
            </w:pPr>
            <w:r>
              <w:rPr>
                <w:rFonts w:ascii="Arial" w:hAnsi="Arial" w:cs="Arial"/>
                <w:sz w:val="27"/>
                <w:szCs w:val="27"/>
              </w:rPr>
              <w:t>Transitional protection</w:t>
            </w:r>
          </w:p>
        </w:tc>
        <w:tc>
          <w:tcPr>
            <w:tcW w:w="8044" w:type="dxa"/>
          </w:tcPr>
          <w:p w:rsidR="00C64D7C" w:rsidRDefault="00C64D7C" w:rsidP="00C64D7C">
            <w:pPr>
              <w:jc w:val="both"/>
              <w:rPr>
                <w:rFonts w:ascii="Arial" w:hAnsi="Arial" w:cs="Arial"/>
                <w:sz w:val="27"/>
                <w:szCs w:val="27"/>
              </w:rPr>
            </w:pPr>
            <w:r>
              <w:rPr>
                <w:rFonts w:ascii="Arial" w:hAnsi="Arial" w:cs="Arial"/>
                <w:sz w:val="27"/>
                <w:szCs w:val="27"/>
              </w:rPr>
              <w:t>A payment to help clients who get less when they’re moved from an old benefit to Universal Credit.</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It’s not available until 2019.</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Clients who move from other benefits to Universal Credit because of a change in circumstances won’t get transitional protection.</w:t>
            </w:r>
          </w:p>
          <w:p w:rsidR="00C64D7C" w:rsidRDefault="00C64D7C" w:rsidP="00C64D7C">
            <w:pPr>
              <w:jc w:val="both"/>
              <w:rPr>
                <w:rFonts w:ascii="Arial" w:hAnsi="Arial" w:cs="Arial"/>
                <w:sz w:val="27"/>
                <w:szCs w:val="27"/>
              </w:rPr>
            </w:pPr>
          </w:p>
        </w:tc>
      </w:tr>
      <w:tr w:rsidR="00C64D7C" w:rsidTr="00C64D7C">
        <w:trPr>
          <w:trHeight w:val="397"/>
        </w:trPr>
        <w:tc>
          <w:tcPr>
            <w:tcW w:w="2376" w:type="dxa"/>
          </w:tcPr>
          <w:p w:rsidR="00C64D7C" w:rsidRDefault="00C64D7C" w:rsidP="00C64D7C">
            <w:pPr>
              <w:spacing w:before="120" w:after="120"/>
              <w:rPr>
                <w:rFonts w:ascii="Arial" w:hAnsi="Arial" w:cs="Arial"/>
                <w:sz w:val="27"/>
                <w:szCs w:val="27"/>
              </w:rPr>
            </w:pPr>
            <w:r>
              <w:rPr>
                <w:rFonts w:ascii="Arial" w:hAnsi="Arial" w:cs="Arial"/>
                <w:sz w:val="27"/>
                <w:szCs w:val="27"/>
              </w:rPr>
              <w:t>Natural migration</w:t>
            </w:r>
          </w:p>
        </w:tc>
        <w:tc>
          <w:tcPr>
            <w:tcW w:w="8044" w:type="dxa"/>
          </w:tcPr>
          <w:p w:rsidR="00C64D7C" w:rsidRDefault="00C64D7C" w:rsidP="00C64D7C">
            <w:pPr>
              <w:jc w:val="both"/>
              <w:rPr>
                <w:rFonts w:ascii="Arial" w:hAnsi="Arial" w:cs="Arial"/>
                <w:sz w:val="27"/>
                <w:szCs w:val="27"/>
              </w:rPr>
            </w:pPr>
            <w:r>
              <w:rPr>
                <w:rFonts w:ascii="Arial" w:hAnsi="Arial" w:cs="Arial"/>
                <w:sz w:val="27"/>
                <w:szCs w:val="27"/>
              </w:rPr>
              <w:t>‘Migration’ is the process of moving onto Universal Credit from legacy benefits.</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Natural migration refers to people who move onto Universal Credit because of a change in circumstances while on legacy benefits that triggers a new claim.  This could be being found fit for work at a Work Capability Assessment, moving house to an area with full service UC, or moving in with a partner.</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For those naturally migrating to Universal Credit, transitional protection does not apply.</w:t>
            </w:r>
          </w:p>
          <w:p w:rsidR="00C64D7C" w:rsidRDefault="00C64D7C" w:rsidP="00C64D7C">
            <w:pPr>
              <w:jc w:val="both"/>
              <w:rPr>
                <w:rFonts w:ascii="Arial" w:hAnsi="Arial" w:cs="Arial"/>
                <w:sz w:val="27"/>
                <w:szCs w:val="27"/>
              </w:rPr>
            </w:pPr>
          </w:p>
        </w:tc>
      </w:tr>
      <w:tr w:rsidR="00C64D7C" w:rsidTr="00C64D7C">
        <w:trPr>
          <w:trHeight w:val="397"/>
        </w:trPr>
        <w:tc>
          <w:tcPr>
            <w:tcW w:w="2376" w:type="dxa"/>
          </w:tcPr>
          <w:p w:rsidR="00C64D7C" w:rsidRDefault="00C64D7C" w:rsidP="00C64D7C">
            <w:pPr>
              <w:spacing w:before="120" w:after="120"/>
              <w:rPr>
                <w:rFonts w:ascii="Arial" w:hAnsi="Arial" w:cs="Arial"/>
                <w:sz w:val="27"/>
                <w:szCs w:val="27"/>
              </w:rPr>
            </w:pPr>
            <w:r>
              <w:rPr>
                <w:rFonts w:ascii="Arial" w:hAnsi="Arial" w:cs="Arial"/>
                <w:sz w:val="27"/>
                <w:szCs w:val="27"/>
              </w:rPr>
              <w:lastRenderedPageBreak/>
              <w:t>Managed migration</w:t>
            </w:r>
          </w:p>
        </w:tc>
        <w:tc>
          <w:tcPr>
            <w:tcW w:w="8044" w:type="dxa"/>
          </w:tcPr>
          <w:p w:rsidR="00C64D7C" w:rsidRDefault="00C64D7C" w:rsidP="00C64D7C">
            <w:pPr>
              <w:jc w:val="both"/>
              <w:rPr>
                <w:rFonts w:ascii="Arial" w:hAnsi="Arial" w:cs="Arial"/>
                <w:sz w:val="27"/>
                <w:szCs w:val="27"/>
              </w:rPr>
            </w:pPr>
            <w:r>
              <w:rPr>
                <w:rFonts w:ascii="Arial" w:hAnsi="Arial" w:cs="Arial"/>
                <w:sz w:val="27"/>
                <w:szCs w:val="27"/>
              </w:rPr>
              <w:t>Managed migration is due to begin in 2019.  It involves DWP actively ending a legacy benefit claim, to be replaced with a new claim for Universal Credit.</w:t>
            </w:r>
          </w:p>
          <w:p w:rsidR="00C64D7C" w:rsidRDefault="00C64D7C" w:rsidP="00C64D7C">
            <w:pPr>
              <w:jc w:val="both"/>
              <w:rPr>
                <w:rFonts w:ascii="Arial" w:hAnsi="Arial" w:cs="Arial"/>
                <w:sz w:val="27"/>
                <w:szCs w:val="27"/>
              </w:rPr>
            </w:pPr>
          </w:p>
          <w:p w:rsidR="00C64D7C" w:rsidRDefault="00C64D7C" w:rsidP="00C64D7C">
            <w:pPr>
              <w:jc w:val="both"/>
              <w:rPr>
                <w:rFonts w:ascii="Arial" w:hAnsi="Arial" w:cs="Arial"/>
                <w:sz w:val="27"/>
                <w:szCs w:val="27"/>
              </w:rPr>
            </w:pPr>
            <w:r>
              <w:rPr>
                <w:rFonts w:ascii="Arial" w:hAnsi="Arial" w:cs="Arial"/>
                <w:sz w:val="27"/>
                <w:szCs w:val="27"/>
              </w:rPr>
              <w:t>For this group, transitional protection will apply for those who</w:t>
            </w:r>
            <w:r w:rsidR="00836048">
              <w:rPr>
                <w:rFonts w:ascii="Arial" w:hAnsi="Arial" w:cs="Arial"/>
                <w:sz w:val="27"/>
                <w:szCs w:val="27"/>
              </w:rPr>
              <w:t>se entitlement under Universal Credit is lower than what they were receiving on legacy benefits.  The process of managed migration is currently due to be complete in 2022.</w:t>
            </w:r>
          </w:p>
        </w:tc>
      </w:tr>
    </w:tbl>
    <w:p w:rsidR="005E29B4" w:rsidRDefault="005E29B4" w:rsidP="00572D94">
      <w:pPr>
        <w:spacing w:after="0"/>
        <w:jc w:val="both"/>
        <w:rPr>
          <w:rFonts w:ascii="Arial" w:hAnsi="Arial" w:cs="Arial"/>
          <w:sz w:val="24"/>
          <w:szCs w:val="24"/>
        </w:rPr>
      </w:pPr>
    </w:p>
    <w:sectPr w:rsidR="005E29B4" w:rsidSect="00331741">
      <w:headerReference w:type="default" r:id="rId8"/>
      <w:footerReference w:type="default" r:id="rId9"/>
      <w:pgSz w:w="11906" w:h="16838"/>
      <w:pgMar w:top="851"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7C" w:rsidRDefault="00C64D7C" w:rsidP="00572D94">
      <w:pPr>
        <w:spacing w:after="0" w:line="240" w:lineRule="auto"/>
      </w:pPr>
      <w:r>
        <w:separator/>
      </w:r>
    </w:p>
  </w:endnote>
  <w:endnote w:type="continuationSeparator" w:id="0">
    <w:p w:rsidR="00C64D7C" w:rsidRDefault="00C64D7C" w:rsidP="0057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7C" w:rsidRPr="00117423" w:rsidRDefault="00C64D7C">
    <w:pPr>
      <w:pStyle w:val="Footer"/>
      <w:rPr>
        <w:sz w:val="16"/>
        <w:szCs w:val="16"/>
      </w:rPr>
    </w:pPr>
    <w:r w:rsidRPr="00117423">
      <w:rPr>
        <w:sz w:val="16"/>
        <w:szCs w:val="16"/>
      </w:rPr>
      <w:fldChar w:fldCharType="begin"/>
    </w:r>
    <w:r w:rsidRPr="00117423">
      <w:rPr>
        <w:sz w:val="16"/>
        <w:szCs w:val="16"/>
      </w:rPr>
      <w:instrText xml:space="preserve"> FILENAME  \p  \* MERGEFORMAT </w:instrText>
    </w:r>
    <w:r w:rsidRPr="00117423">
      <w:rPr>
        <w:sz w:val="16"/>
        <w:szCs w:val="16"/>
      </w:rPr>
      <w:fldChar w:fldCharType="separate"/>
    </w:r>
    <w:r>
      <w:rPr>
        <w:noProof/>
        <w:sz w:val="16"/>
        <w:szCs w:val="16"/>
      </w:rPr>
      <w:t>Z:\SDAIS ORGANISATION\Masters\Factsheets\Universal Credit Factsheet UC4.docx</w:t>
    </w:r>
    <w:r w:rsidRPr="0011742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7C" w:rsidRDefault="00C64D7C" w:rsidP="00572D94">
      <w:pPr>
        <w:spacing w:after="0" w:line="240" w:lineRule="auto"/>
      </w:pPr>
      <w:r>
        <w:separator/>
      </w:r>
    </w:p>
  </w:footnote>
  <w:footnote w:type="continuationSeparator" w:id="0">
    <w:p w:rsidR="00C64D7C" w:rsidRDefault="00C64D7C" w:rsidP="0057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7C" w:rsidRPr="00572D94" w:rsidRDefault="00C64D7C" w:rsidP="006362C1">
    <w:pPr>
      <w:pStyle w:val="Header"/>
      <w:tabs>
        <w:tab w:val="left" w:pos="930"/>
        <w:tab w:val="right" w:pos="10204"/>
      </w:tabs>
      <w:rPr>
        <w:b/>
      </w:rPr>
    </w:pPr>
    <w:r w:rsidRPr="00331741">
      <w:rPr>
        <w:b/>
        <w:noProof/>
        <w:lang w:eastAsia="en-GB"/>
      </w:rPr>
      <mc:AlternateContent>
        <mc:Choice Requires="wps">
          <w:drawing>
            <wp:anchor distT="0" distB="0" distL="114300" distR="114300" simplePos="0" relativeHeight="251661312" behindDoc="0" locked="0" layoutInCell="1" allowOverlap="1" wp14:anchorId="4D28F7B0" wp14:editId="37B2EFC2">
              <wp:simplePos x="0" y="0"/>
              <wp:positionH relativeFrom="column">
                <wp:posOffset>5517515</wp:posOffset>
              </wp:positionH>
              <wp:positionV relativeFrom="paragraph">
                <wp:posOffset>102235</wp:posOffset>
              </wp:positionV>
              <wp:extent cx="110744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04800"/>
                      </a:xfrm>
                      <a:prstGeom prst="rect">
                        <a:avLst/>
                      </a:prstGeom>
                      <a:solidFill>
                        <a:srgbClr val="FFFFFF"/>
                      </a:solidFill>
                      <a:ln w="9525">
                        <a:noFill/>
                        <a:miter lim="800000"/>
                        <a:headEnd/>
                        <a:tailEnd/>
                      </a:ln>
                    </wps:spPr>
                    <wps:txbx>
                      <w:txbxContent>
                        <w:p w:rsidR="00C64D7C" w:rsidRPr="00572D94" w:rsidRDefault="00C64D7C" w:rsidP="00331741">
                          <w:pPr>
                            <w:pStyle w:val="Header"/>
                            <w:tabs>
                              <w:tab w:val="left" w:pos="930"/>
                              <w:tab w:val="right" w:pos="10204"/>
                            </w:tabs>
                            <w:rPr>
                              <w:b/>
                            </w:rPr>
                          </w:pPr>
                          <w:r>
                            <w:rPr>
                              <w:b/>
                            </w:rPr>
                            <w:t>Fact Sheet UC4</w:t>
                          </w:r>
                        </w:p>
                        <w:p w:rsidR="00C64D7C" w:rsidRDefault="00C64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45pt;margin-top:8.05pt;width:87.2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vAIAIAACIEAAAOAAAAZHJzL2Uyb0RvYy54bWysU9tu2zAMfR+wfxD0vthJk7U14hRdugwD&#10;ugvQ7gMYWY6FSaImKbG7rx8lp2nQvQ3TgyCJ1OHhIbm8GYxmB+mDQlvz6aTkTFqBjbK7mv943Ly7&#10;4ixEsA1otLLmTzLwm9XbN8veVXKGHepGekYgNlS9q3kXo6uKIohOGggTdNKSsUVvINLV74rGQ0/o&#10;Rhezsnxf9Ogb51HIEOj1bjTyVcZvWynit7YNMjJdc+IW8+7zvk17sVpCtfPgOiWONOAfWBhQloKe&#10;oO4gAtt79ReUUcJjwDZOBJoC21YJmXOgbKblq2weOnAy50LiBHeSKfw/WPH18N0z1dT8gjMLhkr0&#10;KIfIPuDAZkmd3oWKnB4cucWBnqnKOdPg7lH8DMziugO7k7feY99JaIjdNP0szr6OOCGBbPsv2FAY&#10;2EfMQEPrTZKOxGCETlV6OlUmUREp5LS8nM/JJMh2Uc6vyly6Aqrn386H+EmiYelQc0+Vz+hwuA8x&#10;sYHq2SUFC6hVs1Fa54vfbdfaswNQl2zyygm8ctOW9TW/XswWGdli+p8byKhIXayVqTkxozX2VVLj&#10;o22ySwSlxzMx0fYoT1Jk1CYO2yHXIWuXpNti80R6eRybloaMDh3635z11LA1D7/24CVn+rMlza+n&#10;WaCYL/PF5YzU8ueW7bkFrCComkfOxuM65qlIcli8pdq0Ksv2wuRImRoxq3kcmtTp5/fs9TLaqz8A&#10;AAD//wMAUEsDBBQABgAIAAAAIQAqz+bV3gAAAAoBAAAPAAAAZHJzL2Rvd25yZXYueG1sTI/RToNA&#10;EEXfTfyHzZj4YuyCxS2lLI2aaHxt7QcMMAVSdpaw20L/3u2TPk7uyb1n8u1senGh0XWWNcSLCARx&#10;ZeuOGw2Hn8/nFITzyDX2lknDlRxsi/u7HLPaTryjy943IpSwy1BD6/2QSemqlgy6hR2IQ3a0o0Ef&#10;zrGR9YhTKDe9fIkiJQ12HBZaHOijpeq0PxsNx+/p6XU9lV/+sNol6h27VWmvWj8+zG8bEJ5m/wfD&#10;TT+oQxGcSnvm2oleQ6rSdUBDoGIQNyBKlksQpQaVxCCLXP5/ofgFAAD//wMAUEsBAi0AFAAGAAgA&#10;AAAhALaDOJL+AAAA4QEAABMAAAAAAAAAAAAAAAAAAAAAAFtDb250ZW50X1R5cGVzXS54bWxQSwEC&#10;LQAUAAYACAAAACEAOP0h/9YAAACUAQAACwAAAAAAAAAAAAAAAAAvAQAAX3JlbHMvLnJlbHNQSwEC&#10;LQAUAAYACAAAACEA8LGrwCACAAAiBAAADgAAAAAAAAAAAAAAAAAuAgAAZHJzL2Uyb0RvYy54bWxQ&#10;SwECLQAUAAYACAAAACEAKs/m1d4AAAAKAQAADwAAAAAAAAAAAAAAAAB6BAAAZHJzL2Rvd25yZXYu&#10;eG1sUEsFBgAAAAAEAAQA8wAAAIUFAAAAAA==&#10;" stroked="f">
              <v:textbox>
                <w:txbxContent>
                  <w:p w:rsidR="00C64D7C" w:rsidRPr="00572D94" w:rsidRDefault="00C64D7C" w:rsidP="00331741">
                    <w:pPr>
                      <w:pStyle w:val="Header"/>
                      <w:tabs>
                        <w:tab w:val="left" w:pos="930"/>
                        <w:tab w:val="right" w:pos="10204"/>
                      </w:tabs>
                      <w:rPr>
                        <w:b/>
                      </w:rPr>
                    </w:pPr>
                    <w:r>
                      <w:rPr>
                        <w:b/>
                      </w:rPr>
                      <w:t>Fact Sheet UC4</w:t>
                    </w:r>
                  </w:p>
                  <w:p w:rsidR="00C64D7C" w:rsidRDefault="00C64D7C"/>
                </w:txbxContent>
              </v:textbox>
            </v:shape>
          </w:pict>
        </mc:Fallback>
      </mc:AlternateContent>
    </w:r>
    <w:r w:rsidRPr="006362C1">
      <w:rPr>
        <w:b/>
        <w:noProof/>
        <w:lang w:eastAsia="en-GB"/>
      </w:rPr>
      <mc:AlternateContent>
        <mc:Choice Requires="wps">
          <w:drawing>
            <wp:anchor distT="0" distB="0" distL="114300" distR="114300" simplePos="0" relativeHeight="251659264" behindDoc="0" locked="0" layoutInCell="1" allowOverlap="1" wp14:anchorId="66A4B0A1" wp14:editId="5718F172">
              <wp:simplePos x="0" y="0"/>
              <wp:positionH relativeFrom="column">
                <wp:posOffset>850265</wp:posOffset>
              </wp:positionH>
              <wp:positionV relativeFrom="paragraph">
                <wp:posOffset>178435</wp:posOffset>
              </wp:positionV>
              <wp:extent cx="189547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76250"/>
                      </a:xfrm>
                      <a:prstGeom prst="rect">
                        <a:avLst/>
                      </a:prstGeom>
                      <a:solidFill>
                        <a:srgbClr val="FFFFFF"/>
                      </a:solidFill>
                      <a:ln w="9525">
                        <a:noFill/>
                        <a:miter lim="800000"/>
                        <a:headEnd/>
                        <a:tailEnd/>
                      </a:ln>
                    </wps:spPr>
                    <wps:txbx>
                      <w:txbxContent>
                        <w:p w:rsidR="00C64D7C" w:rsidRPr="006362C1" w:rsidRDefault="00C64D7C" w:rsidP="006362C1">
                          <w:pPr>
                            <w:spacing w:after="0"/>
                            <w:rPr>
                              <w:b/>
                              <w:color w:val="002060"/>
                            </w:rPr>
                          </w:pPr>
                          <w:r w:rsidRPr="006362C1">
                            <w:rPr>
                              <w:b/>
                              <w:color w:val="002060"/>
                            </w:rPr>
                            <w:t>Stockton &amp; District Advice &amp;</w:t>
                          </w:r>
                        </w:p>
                        <w:p w:rsidR="00C64D7C" w:rsidRPr="006362C1" w:rsidRDefault="00C64D7C" w:rsidP="006362C1">
                          <w:pPr>
                            <w:spacing w:after="0"/>
                            <w:rPr>
                              <w:b/>
                              <w:color w:val="002060"/>
                            </w:rPr>
                          </w:pPr>
                          <w:r w:rsidRPr="006362C1">
                            <w:rPr>
                              <w:b/>
                              <w:color w:val="002060"/>
                            </w:rPr>
                            <w:t>Information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95pt;margin-top:14.05pt;width:14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sIQIAAB0EAAAOAAAAZHJzL2Uyb0RvYy54bWysU9uO2yAQfa/Uf0C8N3bcZJN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fZ8vKDFM&#10;45CexBDIBxhIEfXprS+x7NFiYRjwN8459ertA/CfnhjYdszsxZ1z0HeCNchvGk9mV0dHHB9B6v4L&#10;NHgNOwRIQEPrdBQP5SCIjnM6XWYTqfB45XI1ny3mlHDMzRY3xTwNL2Pl82nrfPgkQJO4qajD2Sd0&#10;dnzwIbJh5XNJvMyDks1OKpUCt6+3ypEjQ5/s0pcaeFWmDOkrupoX84RsIJ5PFtIyoI+V1BVd5vEb&#10;nRXV+GiaVBKYVOMemShzlicqMmoThnrAwqhZDc0JhXIw+hXfF246cL8p6dGrFfW/DswJStRng2Kv&#10;prNZNHcKZvNFgYG7ztTXGWY4QlU0UDJutyE9iKiDgTscSiuTXi9MzlzRg0nG83uJJr+OU9XLq978&#10;AQAA//8DAFBLAwQUAAYACAAAACEAomX1Xt4AAAAKAQAADwAAAGRycy9kb3ducmV2LnhtbEyPy07D&#10;MBBF90j8gzVIbBB1XvSRxqkACcS2pR8wid0kajyOYrdJ/55hBcure3TnTLGbbS+uZvSdIwXxIgJh&#10;qHa6o0bB8fvjeQ3CBySNvSOj4GY87Mr7uwJz7Sbam+shNIJHyOeooA1hyKX0dWss+oUbDHF3cqPF&#10;wHFspB5x4nHbyySKltJiR3yhxcG8t6Y+Hy5WwelrenrZTNVnOK722fINu1Xlbko9PsyvWxDBzOEP&#10;hl99VoeSnSp3Ie1FzzlNN4wqSNYxCAayNMlAVNxEaQyyLOT/F8ofAAAA//8DAFBLAQItABQABgAI&#10;AAAAIQC2gziS/gAAAOEBAAATAAAAAAAAAAAAAAAAAAAAAABbQ29udGVudF9UeXBlc10ueG1sUEsB&#10;Ai0AFAAGAAgAAAAhADj9If/WAAAAlAEAAAsAAAAAAAAAAAAAAAAALwEAAF9yZWxzLy5yZWxzUEsB&#10;Ai0AFAAGAAgAAAAhAA+P7ywhAgAAHQQAAA4AAAAAAAAAAAAAAAAALgIAAGRycy9lMm9Eb2MueG1s&#10;UEsBAi0AFAAGAAgAAAAhAKJl9V7eAAAACgEAAA8AAAAAAAAAAAAAAAAAewQAAGRycy9kb3ducmV2&#10;LnhtbFBLBQYAAAAABAAEAPMAAACGBQAAAAA=&#10;" stroked="f">
              <v:textbox>
                <w:txbxContent>
                  <w:p w:rsidR="00C64D7C" w:rsidRPr="006362C1" w:rsidRDefault="00C64D7C" w:rsidP="006362C1">
                    <w:pPr>
                      <w:spacing w:after="0"/>
                      <w:rPr>
                        <w:b/>
                        <w:color w:val="002060"/>
                      </w:rPr>
                    </w:pPr>
                    <w:r w:rsidRPr="006362C1">
                      <w:rPr>
                        <w:b/>
                        <w:color w:val="002060"/>
                      </w:rPr>
                      <w:t>Stockton &amp; District Advice &amp;</w:t>
                    </w:r>
                  </w:p>
                  <w:p w:rsidR="00C64D7C" w:rsidRPr="006362C1" w:rsidRDefault="00C64D7C" w:rsidP="006362C1">
                    <w:pPr>
                      <w:spacing w:after="0"/>
                      <w:rPr>
                        <w:b/>
                        <w:color w:val="002060"/>
                      </w:rPr>
                    </w:pPr>
                    <w:r w:rsidRPr="006362C1">
                      <w:rPr>
                        <w:b/>
                        <w:color w:val="002060"/>
                      </w:rPr>
                      <w:t>Information Service</w:t>
                    </w:r>
                  </w:p>
                </w:txbxContent>
              </v:textbox>
            </v:shape>
          </w:pict>
        </mc:Fallback>
      </mc:AlternateContent>
    </w:r>
    <w:r>
      <w:rPr>
        <w:noProof/>
        <w:lang w:eastAsia="en-GB"/>
      </w:rPr>
      <w:drawing>
        <wp:inline distT="0" distB="0" distL="0" distR="0" wp14:anchorId="72F37DE6" wp14:editId="0231D872">
          <wp:extent cx="847725" cy="847725"/>
          <wp:effectExtent l="0" t="0" r="9525" b="9525"/>
          <wp:docPr id="2" name="Picture 2" descr="Z:\SDAIS ORGANISATION\Leaflets &amp; Publicity\Logos\New Brand 2016\New Brand SDAIS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DAIS ORGANISATION\Leaflets &amp; Publicity\Logos\New Brand 2016\New Brand SDAIS Colou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197"/>
    <w:multiLevelType w:val="hybridMultilevel"/>
    <w:tmpl w:val="8C1EE246"/>
    <w:lvl w:ilvl="0" w:tplc="19E85C9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4003B"/>
    <w:multiLevelType w:val="hybridMultilevel"/>
    <w:tmpl w:val="D4ECF202"/>
    <w:lvl w:ilvl="0" w:tplc="377025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94"/>
    <w:rsid w:val="0003652D"/>
    <w:rsid w:val="000A2773"/>
    <w:rsid w:val="00117423"/>
    <w:rsid w:val="001C1C3C"/>
    <w:rsid w:val="002F3D30"/>
    <w:rsid w:val="00331741"/>
    <w:rsid w:val="00445046"/>
    <w:rsid w:val="004A74A6"/>
    <w:rsid w:val="004D4EE0"/>
    <w:rsid w:val="00572D94"/>
    <w:rsid w:val="005E29B4"/>
    <w:rsid w:val="006362C1"/>
    <w:rsid w:val="00823BDE"/>
    <w:rsid w:val="00836048"/>
    <w:rsid w:val="00890736"/>
    <w:rsid w:val="00BC42B1"/>
    <w:rsid w:val="00BD0D09"/>
    <w:rsid w:val="00C6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D94"/>
  </w:style>
  <w:style w:type="paragraph" w:styleId="Footer">
    <w:name w:val="footer"/>
    <w:basedOn w:val="Normal"/>
    <w:link w:val="FooterChar"/>
    <w:uiPriority w:val="99"/>
    <w:unhideWhenUsed/>
    <w:rsid w:val="00572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D94"/>
  </w:style>
  <w:style w:type="paragraph" w:styleId="ListParagraph">
    <w:name w:val="List Paragraph"/>
    <w:basedOn w:val="Normal"/>
    <w:uiPriority w:val="34"/>
    <w:qFormat/>
    <w:rsid w:val="00572D94"/>
    <w:pPr>
      <w:ind w:left="720"/>
      <w:contextualSpacing/>
    </w:pPr>
  </w:style>
  <w:style w:type="character" w:styleId="Hyperlink">
    <w:name w:val="Hyperlink"/>
    <w:basedOn w:val="DefaultParagraphFont"/>
    <w:uiPriority w:val="99"/>
    <w:unhideWhenUsed/>
    <w:rsid w:val="00572D94"/>
    <w:rPr>
      <w:color w:val="0000FF" w:themeColor="hyperlink"/>
      <w:u w:val="single"/>
    </w:rPr>
  </w:style>
  <w:style w:type="paragraph" w:styleId="BalloonText">
    <w:name w:val="Balloon Text"/>
    <w:basedOn w:val="Normal"/>
    <w:link w:val="BalloonTextChar"/>
    <w:uiPriority w:val="99"/>
    <w:semiHidden/>
    <w:unhideWhenUsed/>
    <w:rsid w:val="00BD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09"/>
    <w:rPr>
      <w:rFonts w:ascii="Tahoma" w:hAnsi="Tahoma" w:cs="Tahoma"/>
      <w:sz w:val="16"/>
      <w:szCs w:val="16"/>
    </w:rPr>
  </w:style>
  <w:style w:type="table" w:styleId="TableGrid">
    <w:name w:val="Table Grid"/>
    <w:basedOn w:val="TableNormal"/>
    <w:uiPriority w:val="59"/>
    <w:rsid w:val="005E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D94"/>
  </w:style>
  <w:style w:type="paragraph" w:styleId="Footer">
    <w:name w:val="footer"/>
    <w:basedOn w:val="Normal"/>
    <w:link w:val="FooterChar"/>
    <w:uiPriority w:val="99"/>
    <w:unhideWhenUsed/>
    <w:rsid w:val="00572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D94"/>
  </w:style>
  <w:style w:type="paragraph" w:styleId="ListParagraph">
    <w:name w:val="List Paragraph"/>
    <w:basedOn w:val="Normal"/>
    <w:uiPriority w:val="34"/>
    <w:qFormat/>
    <w:rsid w:val="00572D94"/>
    <w:pPr>
      <w:ind w:left="720"/>
      <w:contextualSpacing/>
    </w:pPr>
  </w:style>
  <w:style w:type="character" w:styleId="Hyperlink">
    <w:name w:val="Hyperlink"/>
    <w:basedOn w:val="DefaultParagraphFont"/>
    <w:uiPriority w:val="99"/>
    <w:unhideWhenUsed/>
    <w:rsid w:val="00572D94"/>
    <w:rPr>
      <w:color w:val="0000FF" w:themeColor="hyperlink"/>
      <w:u w:val="single"/>
    </w:rPr>
  </w:style>
  <w:style w:type="paragraph" w:styleId="BalloonText">
    <w:name w:val="Balloon Text"/>
    <w:basedOn w:val="Normal"/>
    <w:link w:val="BalloonTextChar"/>
    <w:uiPriority w:val="99"/>
    <w:semiHidden/>
    <w:unhideWhenUsed/>
    <w:rsid w:val="00BD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D09"/>
    <w:rPr>
      <w:rFonts w:ascii="Tahoma" w:hAnsi="Tahoma" w:cs="Tahoma"/>
      <w:sz w:val="16"/>
      <w:szCs w:val="16"/>
    </w:rPr>
  </w:style>
  <w:style w:type="table" w:styleId="TableGrid">
    <w:name w:val="Table Grid"/>
    <w:basedOn w:val="TableNormal"/>
    <w:uiPriority w:val="59"/>
    <w:rsid w:val="005E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Shepherdson</dc:creator>
  <cp:lastModifiedBy>marie kerr</cp:lastModifiedBy>
  <cp:revision>2</cp:revision>
  <cp:lastPrinted>2018-06-27T07:48:00Z</cp:lastPrinted>
  <dcterms:created xsi:type="dcterms:W3CDTF">2018-07-10T10:32:00Z</dcterms:created>
  <dcterms:modified xsi:type="dcterms:W3CDTF">2018-07-10T10:32:00Z</dcterms:modified>
</cp:coreProperties>
</file>